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5F5" w:rsidRDefault="00B025F5" w:rsidP="009A19F4">
      <w:pPr>
        <w:jc w:val="both"/>
        <w:rPr>
          <w:rFonts w:ascii="Sylfaen" w:hAnsi="Sylfaen"/>
        </w:rPr>
      </w:pPr>
      <w:r w:rsidRPr="00B025F5">
        <w:rPr>
          <w:rFonts w:ascii="Sylfaen" w:hAnsi="Sylfaen"/>
          <w:b/>
          <w:sz w:val="24"/>
          <w:szCs w:val="24"/>
          <w:lang w:val="ka-GE"/>
        </w:rPr>
        <w:t>ტაივანი</w:t>
      </w:r>
    </w:p>
    <w:p w:rsidR="000E6BA4" w:rsidRPr="000E6BA4" w:rsidRDefault="000E6BA4" w:rsidP="009A19F4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უცხოელი სამუშაო ძალის ტაივანის შრომის ბაზარზე დასაქმება რეგულირდება დასაქმების აქტით. დასაქმების აქტის 42-ე მუხლის თანახმად, უცხოელის დასაქმებამ არ უნდა შეუშალოს ხელი/დაარღვიოს ადგილობრივი მუშახელის დასაქმების შესაძლებლობას, მათ ეკონოკიკურ განვითარებას  თუ სოციალურ სტაბილურობას. ამასთან, თუ  ადგილი არ ჰქონია უცხოელის მიერ კანონის თუ რეგულაციების დარღვევას და მოხდა მისი </w:t>
      </w:r>
      <w:r w:rsidR="00AE774D">
        <w:rPr>
          <w:rFonts w:ascii="Sylfaen" w:hAnsi="Sylfaen"/>
          <w:lang w:val="ka-GE"/>
        </w:rPr>
        <w:t>გამგზავრება</w:t>
      </w:r>
      <w:r>
        <w:rPr>
          <w:rFonts w:ascii="Sylfaen" w:hAnsi="Sylfaen"/>
          <w:lang w:val="ka-GE"/>
        </w:rPr>
        <w:t xml:space="preserve"> ჩინეთის ტერიტორიიდან</w:t>
      </w:r>
      <w:r w:rsidR="00AE774D">
        <w:rPr>
          <w:rFonts w:ascii="Sylfaen" w:hAnsi="Sylfaen"/>
          <w:lang w:val="ka-GE"/>
        </w:rPr>
        <w:t xml:space="preserve"> კონტრაქტის ვადის ამოწურვის შემდეგ</w:t>
      </w:r>
      <w:r>
        <w:rPr>
          <w:rFonts w:ascii="Sylfaen" w:hAnsi="Sylfaen"/>
          <w:lang w:val="ka-GE"/>
        </w:rPr>
        <w:t xml:space="preserve">, მას უფლება აქვს ხელმეორედ შევიდეს ქვეყანაში დასაქმების მიზნით. </w:t>
      </w:r>
      <w:r w:rsidR="00AE774D">
        <w:rPr>
          <w:rFonts w:ascii="Sylfaen" w:hAnsi="Sylfaen"/>
          <w:lang w:val="ka-GE"/>
        </w:rPr>
        <w:t xml:space="preserve">შესვლის ნებართვა ამ შემთხვევაში გაიცემა მხოლოდ მისი მიერ ქვეყნის დატოვებიდან 1 დღის შემდეგ, მაგრამ მისი ჩინეთის ტერიტორიაზე დასაქმების პერიოდი ამის შემდეგ არ უნდა აღემატებოდეს 9 წელს. </w:t>
      </w:r>
    </w:p>
    <w:p w:rsidR="000E6BA4" w:rsidRDefault="00CA5108" w:rsidP="009A19F4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დამსაქმებელთა მხრიდან გასატარებელი ღონისძიებები, როდესაც იგი აპირებს დაიქირაოს უცხოელი განისაზღვრება დასაქმების აქტის 47-ე მუხლით. აღნიშნული მუხლი განსაზღვრავს, რომ დამსაქმებელმა პირველ რიგში, გონივრულ ვადაში უნდა მოიძიოს ადგილობრივი</w:t>
      </w:r>
      <w:r w:rsidR="001E522A">
        <w:rPr>
          <w:rFonts w:ascii="Sylfaen" w:hAnsi="Sylfaen"/>
          <w:lang w:val="ka-GE"/>
        </w:rPr>
        <w:t xml:space="preserve">. მხოლოდ იმ შემთხვევაში </w:t>
      </w:r>
      <w:r w:rsidR="00224F52">
        <w:rPr>
          <w:rFonts w:ascii="Sylfaen" w:hAnsi="Sylfaen"/>
          <w:lang w:val="ka-GE"/>
        </w:rPr>
        <w:t xml:space="preserve">თუ დამსაქმებელი ვერ შეძლებს მოიპოვოს მისი ბიზნეს საჭიროებისათვის შესაფერისი კანდიდატები, ეძლევა უფლება მიმართოს შრომის საკითხთა საბჭოს და მოიპოვოს ნებართვა. </w:t>
      </w:r>
      <w:r>
        <w:rPr>
          <w:rFonts w:ascii="Sylfaen" w:hAnsi="Sylfaen"/>
          <w:lang w:val="ka-GE"/>
        </w:rPr>
        <w:t xml:space="preserve"> </w:t>
      </w:r>
    </w:p>
    <w:p w:rsidR="009A19F4" w:rsidRDefault="009A19F4" w:rsidP="001D1437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მუშაობის ნებართვის აპლიკაცია წარდგენილი უნდა იყოს და დამატებით უნდა დაერთოს კანდიდატის </w:t>
      </w:r>
      <w:r>
        <w:rPr>
          <w:rFonts w:ascii="Sylfaen" w:hAnsi="Sylfaen"/>
        </w:rPr>
        <w:t>CV</w:t>
      </w:r>
      <w:r>
        <w:rPr>
          <w:rFonts w:ascii="Sylfaen" w:hAnsi="Sylfaen"/>
          <w:lang w:val="ka-GE"/>
        </w:rPr>
        <w:t xml:space="preserve">, პასპორტი, შრომითი ხელშეკრულება, სამუშაო გამოცდილებისა და განათლების დამადასტურებელი დოკუმენტები. </w:t>
      </w:r>
      <w:r w:rsidR="00D06216">
        <w:rPr>
          <w:rFonts w:ascii="Sylfaen" w:hAnsi="Sylfaen"/>
          <w:lang w:val="ka-GE"/>
        </w:rPr>
        <w:t xml:space="preserve">აპლიკაციის გადახედვის პროცესი დაახლოებით 2 კვირა მიმდინარეობს. მას შემდეგ რაც მიიღება გადაწყვეტილება ნებართვის გაცემის თაობაზე, ოფიციალური წერილი ფოსტით იგზავნება დამსაქმებელთან. ეს წერილი არის პოტენციური დასაქმებულისათვის ნებართვა დასაქმდეს ტაივანში. </w:t>
      </w:r>
    </w:p>
    <w:p w:rsidR="00D06216" w:rsidRDefault="00215580" w:rsidP="001D1437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მუშაობის ნებართვის მიღების შემდეგ პოტენციურმა დასაქმებულმა უნდა გააკეთოს განაცხადი ბინადრობის ნებართვაზე. თუ იგი ტაივანის ტერიტორიაზე შემოსულია ვიზიტორის ვიზით, მან ტაივანის ტერიტორიის დატოვების გარეშე შეიძლება მიმართოს საკონსულოს. </w:t>
      </w:r>
    </w:p>
    <w:tbl>
      <w:tblPr>
        <w:tblW w:w="47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9"/>
        <w:gridCol w:w="4399"/>
      </w:tblGrid>
      <w:tr w:rsidR="009A19F4" w:rsidRPr="009A19F4" w:rsidTr="00FF72C2">
        <w:trPr>
          <w:tblCellSpacing w:w="0" w:type="dxa"/>
        </w:trPr>
        <w:tc>
          <w:tcPr>
            <w:tcW w:w="0" w:type="auto"/>
            <w:gridSpan w:val="2"/>
          </w:tcPr>
          <w:p w:rsidR="009A19F4" w:rsidRPr="009A19F4" w:rsidRDefault="00F32C7A" w:rsidP="009A1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Sylfaen" w:hAnsi="Sylfaen"/>
                <w:lang w:val="ka-GE"/>
              </w:rPr>
              <w:t xml:space="preserve">ზემოთაღნიშნული ვიზის მიღებისა და ტაივანის ტერიტორიაზე შემოსვლის შემდეგ </w:t>
            </w:r>
            <w:r w:rsidR="00FF72C2">
              <w:rPr>
                <w:rFonts w:ascii="Sylfaen" w:hAnsi="Sylfaen"/>
                <w:lang w:val="ka-GE"/>
              </w:rPr>
              <w:t xml:space="preserve"> უცხოელი მოქალაქეები ვალდებულნი არიან აიღონ უცხოელი მობინადრის სერტიფიკატი. </w:t>
            </w:r>
          </w:p>
        </w:tc>
      </w:tr>
      <w:tr w:rsidR="009A19F4" w:rsidRPr="009A19F4" w:rsidTr="00F32C7A">
        <w:trPr>
          <w:tblCellSpacing w:w="0" w:type="dxa"/>
        </w:trPr>
        <w:tc>
          <w:tcPr>
            <w:tcW w:w="0" w:type="auto"/>
          </w:tcPr>
          <w:p w:rsidR="009A19F4" w:rsidRPr="009A19F4" w:rsidRDefault="009A19F4" w:rsidP="009A1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0" w:type="auto"/>
          </w:tcPr>
          <w:p w:rsidR="009A19F4" w:rsidRPr="009A19F4" w:rsidRDefault="009A19F4" w:rsidP="009A19F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9A19F4" w:rsidRPr="009A19F4" w:rsidTr="00215580">
        <w:trPr>
          <w:tblCellSpacing w:w="0" w:type="dxa"/>
        </w:trPr>
        <w:tc>
          <w:tcPr>
            <w:tcW w:w="0" w:type="auto"/>
            <w:gridSpan w:val="2"/>
          </w:tcPr>
          <w:p w:rsidR="009A19F4" w:rsidRPr="009A19F4" w:rsidRDefault="009A19F4" w:rsidP="009A19F4">
            <w:pPr>
              <w:spacing w:after="0" w:line="270" w:lineRule="atLeast"/>
              <w:rPr>
                <w:rFonts w:ascii="Arial" w:eastAsia="Times New Roman" w:hAnsi="Arial" w:cs="Arial"/>
                <w:color w:val="797979"/>
                <w:sz w:val="20"/>
                <w:szCs w:val="20"/>
              </w:rPr>
            </w:pPr>
          </w:p>
        </w:tc>
      </w:tr>
      <w:tr w:rsidR="009A19F4" w:rsidRPr="009A19F4" w:rsidTr="00FF72C2">
        <w:trPr>
          <w:tblCellSpacing w:w="0" w:type="dxa"/>
        </w:trPr>
        <w:tc>
          <w:tcPr>
            <w:tcW w:w="0" w:type="auto"/>
            <w:gridSpan w:val="2"/>
          </w:tcPr>
          <w:p w:rsidR="009A19F4" w:rsidRPr="009A19F4" w:rsidRDefault="009A19F4" w:rsidP="009A1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9A19F4" w:rsidRPr="009A19F4" w:rsidTr="00FF72C2">
        <w:trPr>
          <w:tblCellSpacing w:w="0" w:type="dxa"/>
        </w:trPr>
        <w:tc>
          <w:tcPr>
            <w:tcW w:w="0" w:type="auto"/>
          </w:tcPr>
          <w:p w:rsidR="009A19F4" w:rsidRPr="009A19F4" w:rsidRDefault="009A19F4" w:rsidP="009A1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0" w:type="auto"/>
          </w:tcPr>
          <w:p w:rsidR="009A19F4" w:rsidRPr="009A19F4" w:rsidRDefault="009A19F4" w:rsidP="009A19F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9A19F4" w:rsidRPr="009A19F4" w:rsidTr="00FF72C2">
        <w:trPr>
          <w:tblCellSpacing w:w="0" w:type="dxa"/>
        </w:trPr>
        <w:tc>
          <w:tcPr>
            <w:tcW w:w="0" w:type="auto"/>
            <w:gridSpan w:val="2"/>
          </w:tcPr>
          <w:p w:rsidR="009A19F4" w:rsidRPr="009A19F4" w:rsidRDefault="009A19F4" w:rsidP="009A19F4">
            <w:pPr>
              <w:spacing w:after="0" w:line="270" w:lineRule="atLeast"/>
              <w:rPr>
                <w:rFonts w:ascii="Arial" w:eastAsia="Times New Roman" w:hAnsi="Arial" w:cs="Arial"/>
                <w:color w:val="797979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9A19F4" w:rsidRPr="009A19F4" w:rsidTr="00FF72C2">
        <w:trPr>
          <w:tblCellSpacing w:w="0" w:type="dxa"/>
        </w:trPr>
        <w:tc>
          <w:tcPr>
            <w:tcW w:w="0" w:type="auto"/>
          </w:tcPr>
          <w:p w:rsidR="009A19F4" w:rsidRPr="009A19F4" w:rsidRDefault="009A19F4" w:rsidP="009A1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0" w:type="auto"/>
          </w:tcPr>
          <w:p w:rsidR="009A19F4" w:rsidRPr="009A19F4" w:rsidRDefault="009A19F4" w:rsidP="009A19F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9A19F4" w:rsidRPr="009A19F4" w:rsidTr="00FF72C2">
        <w:trPr>
          <w:tblCellSpacing w:w="0" w:type="dxa"/>
        </w:trPr>
        <w:tc>
          <w:tcPr>
            <w:tcW w:w="0" w:type="auto"/>
            <w:gridSpan w:val="2"/>
          </w:tcPr>
          <w:p w:rsidR="009A19F4" w:rsidRPr="009A19F4" w:rsidRDefault="009A19F4" w:rsidP="009A19F4">
            <w:pPr>
              <w:spacing w:after="0" w:line="270" w:lineRule="atLeast"/>
              <w:rPr>
                <w:rFonts w:ascii="Arial" w:eastAsia="Times New Roman" w:hAnsi="Arial" w:cs="Arial"/>
                <w:color w:val="797979"/>
                <w:sz w:val="20"/>
                <w:szCs w:val="20"/>
              </w:rPr>
            </w:pPr>
          </w:p>
        </w:tc>
      </w:tr>
    </w:tbl>
    <w:p w:rsidR="000E6BA4" w:rsidRPr="00B025F5" w:rsidRDefault="000E6BA4" w:rsidP="000E6BA4">
      <w:pPr>
        <w:rPr>
          <w:rFonts w:ascii="Sylfaen" w:hAnsi="Sylfaen"/>
          <w:lang w:val="ka-GE"/>
        </w:rPr>
      </w:pPr>
    </w:p>
    <w:sectPr w:rsidR="000E6BA4" w:rsidRPr="00B025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211"/>
    <w:rsid w:val="000E6BA4"/>
    <w:rsid w:val="001D1437"/>
    <w:rsid w:val="001E522A"/>
    <w:rsid w:val="00215580"/>
    <w:rsid w:val="00224F52"/>
    <w:rsid w:val="0024680F"/>
    <w:rsid w:val="00247684"/>
    <w:rsid w:val="00880211"/>
    <w:rsid w:val="009A19F4"/>
    <w:rsid w:val="00AE774D"/>
    <w:rsid w:val="00B025F5"/>
    <w:rsid w:val="00CA5108"/>
    <w:rsid w:val="00D06216"/>
    <w:rsid w:val="00F32C7A"/>
    <w:rsid w:val="00FF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9A19F4"/>
  </w:style>
  <w:style w:type="paragraph" w:styleId="BalloonText">
    <w:name w:val="Balloon Text"/>
    <w:basedOn w:val="Normal"/>
    <w:link w:val="BalloonTextChar"/>
    <w:uiPriority w:val="99"/>
    <w:semiHidden/>
    <w:unhideWhenUsed/>
    <w:rsid w:val="009A1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9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9A19F4"/>
  </w:style>
  <w:style w:type="paragraph" w:styleId="BalloonText">
    <w:name w:val="Balloon Text"/>
    <w:basedOn w:val="Normal"/>
    <w:link w:val="BalloonTextChar"/>
    <w:uiPriority w:val="99"/>
    <w:semiHidden/>
    <w:unhideWhenUsed/>
    <w:rsid w:val="009A1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9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9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1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43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291</Words>
  <Characters>1662</Characters>
  <Application>Microsoft Office Word</Application>
  <DocSecurity>0</DocSecurity>
  <Lines>13</Lines>
  <Paragraphs>3</Paragraphs>
  <ScaleCrop>false</ScaleCrop>
  <Company/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Lika Klimiashvili</dc:creator>
  <cp:keywords/>
  <dc:description/>
  <cp:lastModifiedBy>Giorgi Bunturi</cp:lastModifiedBy>
  <cp:revision>14</cp:revision>
  <dcterms:created xsi:type="dcterms:W3CDTF">2013-11-01T11:54:00Z</dcterms:created>
  <dcterms:modified xsi:type="dcterms:W3CDTF">2014-05-15T11:29:00Z</dcterms:modified>
</cp:coreProperties>
</file>